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DE" w:rsidRPr="006A359A" w:rsidRDefault="000258DE" w:rsidP="000258DE">
      <w:pPr>
        <w:pStyle w:val="Heading7"/>
        <w:tabs>
          <w:tab w:val="clear" w:pos="522"/>
          <w:tab w:val="num" w:pos="432"/>
        </w:tabs>
        <w:ind w:left="288"/>
      </w:pPr>
      <w:bookmarkStart w:id="0" w:name="_Toc531267476"/>
      <w:bookmarkStart w:id="1" w:name="_Toc2758769"/>
      <w:bookmarkStart w:id="2" w:name="_Toc5099816"/>
      <w:r w:rsidRPr="006A359A">
        <w:t>Service Demand Request Checklist and Instructions</w:t>
      </w:r>
      <w:bookmarkEnd w:id="0"/>
      <w:bookmarkEnd w:id="1"/>
      <w:bookmarkEnd w:id="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8"/>
        <w:gridCol w:w="4876"/>
      </w:tblGrid>
      <w:tr w:rsidR="000258DE" w:rsidRPr="003A45D9" w:rsidTr="00BA6A6D">
        <w:trPr>
          <w:trHeight w:val="273"/>
        </w:trPr>
        <w:tc>
          <w:tcPr>
            <w:tcW w:w="2391" w:type="pct"/>
            <w:vAlign w:val="center"/>
          </w:tcPr>
          <w:p w:rsidR="000258DE" w:rsidRPr="003A45D9" w:rsidRDefault="000258DE" w:rsidP="00BA6A6D">
            <w:pPr>
              <w:tabs>
                <w:tab w:val="left" w:pos="9270"/>
              </w:tabs>
              <w:rPr>
                <w:b/>
              </w:rPr>
            </w:pPr>
            <w:r w:rsidRPr="003A45D9">
              <w:rPr>
                <w:b/>
              </w:rPr>
              <w:t>1. T</w:t>
            </w:r>
            <w:r>
              <w:rPr>
                <w:b/>
              </w:rPr>
              <w:t>O</w:t>
            </w:r>
            <w:r w:rsidRPr="003A45D9">
              <w:rPr>
                <w:b/>
              </w:rPr>
              <w:t xml:space="preserve"> </w:t>
            </w:r>
            <w:r>
              <w:rPr>
                <w:b/>
              </w:rPr>
              <w:t>TRACKING NUMBER</w:t>
            </w:r>
            <w:r w:rsidRPr="003A45D9">
              <w:rPr>
                <w:b/>
              </w:rPr>
              <w:t>:</w:t>
            </w:r>
          </w:p>
        </w:tc>
        <w:tc>
          <w:tcPr>
            <w:tcW w:w="2609" w:type="pct"/>
            <w:vAlign w:val="center"/>
          </w:tcPr>
          <w:p w:rsidR="000258DE" w:rsidRPr="003A45D9" w:rsidRDefault="000258DE" w:rsidP="00BA6A6D">
            <w:pPr>
              <w:tabs>
                <w:tab w:val="left" w:pos="9270"/>
              </w:tabs>
              <w:rPr>
                <w:b/>
              </w:rPr>
            </w:pPr>
          </w:p>
        </w:tc>
      </w:tr>
      <w:tr w:rsidR="000258DE" w:rsidRPr="003A45D9" w:rsidTr="00BA6A6D">
        <w:trPr>
          <w:trHeight w:val="264"/>
        </w:trPr>
        <w:tc>
          <w:tcPr>
            <w:tcW w:w="2391" w:type="pct"/>
            <w:vAlign w:val="center"/>
          </w:tcPr>
          <w:p w:rsidR="000258DE" w:rsidRPr="003A45D9" w:rsidRDefault="000258DE" w:rsidP="00BA6A6D">
            <w:pPr>
              <w:tabs>
                <w:tab w:val="left" w:pos="9270"/>
              </w:tabs>
              <w:rPr>
                <w:b/>
              </w:rPr>
            </w:pPr>
            <w:r w:rsidRPr="003A45D9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3A45D9">
              <w:rPr>
                <w:b/>
              </w:rPr>
              <w:t>T</w:t>
            </w:r>
            <w:r>
              <w:rPr>
                <w:b/>
              </w:rPr>
              <w:t>O</w:t>
            </w:r>
            <w:r w:rsidRPr="003A45D9">
              <w:rPr>
                <w:b/>
              </w:rPr>
              <w:t xml:space="preserve"> </w:t>
            </w:r>
            <w:r>
              <w:rPr>
                <w:b/>
              </w:rPr>
              <w:t>TITLE</w:t>
            </w:r>
            <w:r w:rsidRPr="003A45D9">
              <w:rPr>
                <w:b/>
              </w:rPr>
              <w:t>:</w:t>
            </w:r>
          </w:p>
        </w:tc>
        <w:tc>
          <w:tcPr>
            <w:tcW w:w="2609" w:type="pct"/>
            <w:vAlign w:val="center"/>
          </w:tcPr>
          <w:p w:rsidR="000258DE" w:rsidRPr="003A45D9" w:rsidRDefault="000258DE" w:rsidP="00BA6A6D">
            <w:pPr>
              <w:tabs>
                <w:tab w:val="left" w:pos="9270"/>
              </w:tabs>
              <w:rPr>
                <w:b/>
              </w:rPr>
            </w:pPr>
          </w:p>
        </w:tc>
      </w:tr>
      <w:tr w:rsidR="000258DE" w:rsidRPr="003A45D9" w:rsidTr="00BA6A6D">
        <w:tc>
          <w:tcPr>
            <w:tcW w:w="5000" w:type="pct"/>
            <w:gridSpan w:val="2"/>
          </w:tcPr>
          <w:p w:rsidR="000258DE" w:rsidRPr="003A45D9" w:rsidRDefault="000258DE" w:rsidP="00BA6A6D">
            <w:pPr>
              <w:ind w:left="162" w:hanging="162"/>
              <w:jc w:val="both"/>
              <w:rPr>
                <w:color w:val="FFFFFF"/>
              </w:rPr>
            </w:pPr>
            <w:r w:rsidRPr="003A45D9">
              <w:rPr>
                <w:b/>
              </w:rPr>
              <w:t xml:space="preserve">3. </w:t>
            </w:r>
            <w:r>
              <w:rPr>
                <w:b/>
              </w:rPr>
              <w:t xml:space="preserve">MISSION OWNER POINT OF CONTACT: </w:t>
            </w:r>
            <w:r w:rsidRPr="003A45D9">
              <w:t>Include name, title, organization, commercial and DSN phone numbers for voice and fax, and email address:</w:t>
            </w:r>
          </w:p>
        </w:tc>
      </w:tr>
      <w:tr w:rsidR="000258DE" w:rsidRPr="003A45D9" w:rsidTr="00BA6A6D">
        <w:trPr>
          <w:trHeight w:val="561"/>
        </w:trPr>
        <w:tc>
          <w:tcPr>
            <w:tcW w:w="5000" w:type="pct"/>
            <w:gridSpan w:val="2"/>
          </w:tcPr>
          <w:p w:rsidR="000258DE" w:rsidRPr="003A45D9" w:rsidRDefault="000258DE" w:rsidP="00BA6A6D">
            <w:pPr>
              <w:ind w:left="162" w:hanging="162"/>
              <w:jc w:val="both"/>
              <w:rPr>
                <w:color w:val="FFFFFF"/>
              </w:rPr>
            </w:pPr>
            <w:r w:rsidRPr="003A45D9">
              <w:rPr>
                <w:b/>
              </w:rPr>
              <w:t xml:space="preserve">4. </w:t>
            </w:r>
            <w:r>
              <w:rPr>
                <w:b/>
              </w:rPr>
              <w:t xml:space="preserve">DESIGNATED TO COR: </w:t>
            </w:r>
            <w:r w:rsidRPr="003A45D9">
              <w:t xml:space="preserve">Include name, title, organization, commercial and DSN phone numbers for voice and fax, and email address: </w:t>
            </w:r>
          </w:p>
        </w:tc>
      </w:tr>
      <w:tr w:rsidR="000258DE" w:rsidRPr="003A45D9" w:rsidTr="00BA6A6D">
        <w:tc>
          <w:tcPr>
            <w:tcW w:w="5000" w:type="pct"/>
            <w:gridSpan w:val="2"/>
          </w:tcPr>
          <w:p w:rsidR="000258DE" w:rsidRPr="003A45D9" w:rsidRDefault="000258DE" w:rsidP="00BA6A6D">
            <w:pPr>
              <w:ind w:left="162" w:hanging="162"/>
              <w:jc w:val="both"/>
              <w:rPr>
                <w:color w:val="FFFFFF"/>
              </w:rPr>
            </w:pPr>
            <w:r w:rsidRPr="003A45D9">
              <w:rPr>
                <w:b/>
              </w:rPr>
              <w:t xml:space="preserve">5. </w:t>
            </w:r>
            <w:r>
              <w:rPr>
                <w:b/>
              </w:rPr>
              <w:t>ATTACHMENTS CHECKLIST</w:t>
            </w:r>
            <w:r w:rsidRPr="003A45D9">
              <w:rPr>
                <w:b/>
              </w:rPr>
              <w:t>:</w:t>
            </w:r>
            <w:r w:rsidRPr="003A45D9">
              <w:t xml:space="preserve"> Complete Acquisition Requirement Package (ARP) must include </w:t>
            </w:r>
            <w:r w:rsidRPr="003A45D9">
              <w:rPr>
                <w:u w:val="single"/>
              </w:rPr>
              <w:t>all</w:t>
            </w:r>
            <w:r w:rsidRPr="003A45D9">
              <w:t xml:space="preserve"> the following </w:t>
            </w:r>
            <w:r w:rsidRPr="003A45D9">
              <w:rPr>
                <w:u w:val="single"/>
              </w:rPr>
              <w:t>mandatory</w:t>
            </w:r>
            <w:r w:rsidRPr="003A45D9">
              <w:t xml:space="preserve"> items. Send files electronically via e-mail to the </w:t>
            </w:r>
            <w:r>
              <w:t xml:space="preserve">NCB. </w:t>
            </w:r>
            <w:r w:rsidRPr="003A45D9">
              <w:rPr>
                <w:i/>
                <w:color w:val="0000FF"/>
              </w:rPr>
              <w:t xml:space="preserve">(All files shall be completed using </w:t>
            </w:r>
            <w:r>
              <w:rPr>
                <w:i/>
                <w:color w:val="0000FF"/>
              </w:rPr>
              <w:t>the current MS version available on NMCI)</w:t>
            </w:r>
            <w:r w:rsidRPr="003A45D9">
              <w:rPr>
                <w:i/>
                <w:color w:val="0000FF"/>
              </w:rPr>
              <w:t xml:space="preserve"> </w:t>
            </w:r>
          </w:p>
        </w:tc>
      </w:tr>
      <w:tr w:rsidR="000258DE" w:rsidRPr="003A45D9" w:rsidTr="00BA6A6D">
        <w:trPr>
          <w:trHeight w:val="2505"/>
        </w:trPr>
        <w:tc>
          <w:tcPr>
            <w:tcW w:w="5000" w:type="pct"/>
            <w:gridSpan w:val="2"/>
            <w:vAlign w:val="center"/>
          </w:tcPr>
          <w:p w:rsidR="000258DE" w:rsidRPr="003A45D9" w:rsidRDefault="000258DE" w:rsidP="00BA6A6D">
            <w:pPr>
              <w:ind w:left="252"/>
              <w:rPr>
                <w:color w:val="FFFFFF"/>
              </w:rPr>
            </w:pPr>
            <w:r w:rsidRPr="003A45D9">
              <w:t xml:space="preserve">Work Statement </w:t>
            </w:r>
            <w:r w:rsidRPr="003A45D9">
              <w:rPr>
                <w:i/>
                <w:color w:val="0000FF"/>
              </w:rPr>
              <w:t>(check one)</w:t>
            </w:r>
            <w:r>
              <w:rPr>
                <w:b/>
              </w:rPr>
              <w:t xml:space="preserve">. </w:t>
            </w:r>
            <w:r w:rsidRPr="003A45D9">
              <w:t>All work statements must include applicable Section 508 requirements or exceptions.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PWS, or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SOO, or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SOW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Justification for Work Statement that is not Performance-based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</w:t>
            </w:r>
            <w:r>
              <w:t>Security Requirements (</w:t>
            </w:r>
            <w:r w:rsidRPr="003A45D9">
              <w:t>DD Form 254</w:t>
            </w:r>
            <w:r>
              <w:t>)</w:t>
            </w:r>
            <w:r w:rsidRPr="003A45D9">
              <w:t xml:space="preserve"> (if applicable) 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Contract Data Requirements List (CDRLs) (if applicable) 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Funding Documents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Independent Government Estimate (IGE) 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Market Research Documentation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Acquisition Plan/Acquisition Strategy (if applicable)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QASP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   Determination and Findings (D&amp;F) for T&amp;M/LH Usage (if applicable)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EIT Sec 508 Cert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ITPR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Non-personal Services Statement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Identification of application/data type (financial, PII, etc.)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TO COR Nomination</w:t>
            </w:r>
          </w:p>
          <w:p w:rsidR="000258DE" w:rsidRDefault="000258DE" w:rsidP="00BA6A6D">
            <w:pPr>
              <w:ind w:left="346"/>
            </w:pP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>
              <w:t xml:space="preserve">All orders </w:t>
            </w:r>
            <w:r w:rsidRPr="00FB1CD9">
              <w:rPr>
                <w:color w:val="333333"/>
              </w:rPr>
              <w:t>must include the following elements, in addition to any information required by the Schedule contract</w:t>
            </w:r>
            <w:r>
              <w:rPr>
                <w:color w:val="333333"/>
              </w:rPr>
              <w:t xml:space="preserve"> and BPA: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Complete shipping and billing addresses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Contract number, agency order number, and date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F.O.B. delivery points, e.g., origin or destination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Discount terms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Delivery time or Period of Performance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Special Item Number (SIN) or National Stock Number (NSN)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SOW, when required, or a brief, complete description of each item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Quantity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Number of units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Unit price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Total price of order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Points of inspection and acceptance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Other pertinent data, e.g., delivery instructions or receiving hours and size-of-truck limitation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Marking requirements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</w:t>
            </w:r>
            <w:r w:rsidRPr="00FB1CD9">
              <w:rPr>
                <w:color w:val="333333"/>
              </w:rPr>
              <w:t>Level of preservation, packaging, and packing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Add justification for brand name</w:t>
            </w:r>
          </w:p>
          <w:p w:rsidR="000258DE" w:rsidRDefault="000258DE" w:rsidP="00BA6A6D">
            <w:pPr>
              <w:ind w:left="346"/>
              <w:rPr>
                <w:color w:val="333333"/>
              </w:rPr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Option Justification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Identification of Financially Relevant System Requirements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Identification of needed cyber risk insurance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Identification of Impact Level (IL)</w:t>
            </w:r>
          </w:p>
          <w:p w:rsidR="000258DE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Identification of and justification for any GF Software or property</w:t>
            </w:r>
          </w:p>
          <w:p w:rsidR="000258DE" w:rsidRPr="003A45D9" w:rsidRDefault="000258DE" w:rsidP="00BA6A6D">
            <w:pPr>
              <w:ind w:left="346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>
              <w:t xml:space="preserve">     Use of utility model or other contract approach</w:t>
            </w:r>
          </w:p>
          <w:p w:rsidR="000258DE" w:rsidRPr="003A45D9" w:rsidRDefault="000258DE" w:rsidP="00BA6A6D">
            <w:pPr>
              <w:rPr>
                <w:b/>
                <w:color w:val="FFFFFF"/>
              </w:rPr>
            </w:pPr>
          </w:p>
        </w:tc>
      </w:tr>
      <w:tr w:rsidR="000258DE" w:rsidRPr="003A45D9" w:rsidTr="00BA6A6D">
        <w:trPr>
          <w:trHeight w:val="300"/>
        </w:trPr>
        <w:tc>
          <w:tcPr>
            <w:tcW w:w="5000" w:type="pct"/>
            <w:gridSpan w:val="2"/>
          </w:tcPr>
          <w:p w:rsidR="000258DE" w:rsidRDefault="000258DE" w:rsidP="00BA6A6D">
            <w:pPr>
              <w:ind w:left="162" w:hanging="162"/>
              <w:jc w:val="both"/>
              <w:rPr>
                <w:b/>
              </w:rPr>
            </w:pPr>
            <w:r w:rsidRPr="003A45D9">
              <w:rPr>
                <w:b/>
              </w:rPr>
              <w:lastRenderedPageBreak/>
              <w:t xml:space="preserve">6. </w:t>
            </w:r>
            <w:r>
              <w:rPr>
                <w:b/>
              </w:rPr>
              <w:t>TO</w:t>
            </w:r>
            <w:r w:rsidRPr="003A45D9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  <w:r w:rsidRPr="003A45D9">
              <w:rPr>
                <w:b/>
              </w:rPr>
              <w:t>:</w:t>
            </w:r>
          </w:p>
          <w:p w:rsidR="000258DE" w:rsidRPr="003A45D9" w:rsidRDefault="000258DE" w:rsidP="00BA6A6D">
            <w:pPr>
              <w:ind w:left="162" w:hanging="162"/>
              <w:jc w:val="both"/>
              <w:rPr>
                <w:color w:val="FFFFFF"/>
              </w:rPr>
            </w:pPr>
          </w:p>
        </w:tc>
      </w:tr>
      <w:tr w:rsidR="000258DE" w:rsidRPr="003A45D9" w:rsidTr="00BA6A6D">
        <w:trPr>
          <w:trHeight w:val="864"/>
        </w:trPr>
        <w:tc>
          <w:tcPr>
            <w:tcW w:w="5000" w:type="pct"/>
            <w:gridSpan w:val="2"/>
            <w:vAlign w:val="center"/>
          </w:tcPr>
          <w:p w:rsidR="000258DE" w:rsidRPr="003A45D9" w:rsidRDefault="000258DE" w:rsidP="00BA6A6D">
            <w:pPr>
              <w:ind w:left="259"/>
            </w:pPr>
            <w:r w:rsidRPr="003A45D9">
              <w:rPr>
                <w:b/>
              </w:rPr>
              <w:t>a</w:t>
            </w:r>
            <w:r>
              <w:rPr>
                <w:b/>
              </w:rPr>
              <w:t>. CONTRACT TYPE:</w:t>
            </w:r>
            <w:r w:rsidRPr="003A45D9">
              <w:rPr>
                <w:b/>
              </w:rPr>
              <w:t xml:space="preserve"> </w:t>
            </w:r>
            <w:r w:rsidRPr="003A45D9">
              <w:rPr>
                <w:i/>
                <w:color w:val="0000FF"/>
              </w:rPr>
              <w:t>(check the appropriate boxes)</w:t>
            </w:r>
            <w:r>
              <w:rPr>
                <w:b/>
              </w:rPr>
              <w:t xml:space="preserve">. </w:t>
            </w:r>
            <w:r w:rsidRPr="003A45D9">
              <w:t>The Contract Type may be a hybrid; therefore, more than one box may be checked</w:t>
            </w:r>
            <w:r>
              <w:t xml:space="preserve">. </w:t>
            </w:r>
            <w:r w:rsidRPr="003A45D9">
              <w:t xml:space="preserve">The </w:t>
            </w:r>
            <w:r>
              <w:t>NCB</w:t>
            </w:r>
            <w:r w:rsidRPr="003A45D9">
              <w:t xml:space="preserve"> makes the final determination of which order type is in the best interest of the Government.)</w:t>
            </w:r>
          </w:p>
          <w:p w:rsidR="000258DE" w:rsidRPr="003A45D9" w:rsidRDefault="000258DE" w:rsidP="00BA6A6D">
            <w:pPr>
              <w:ind w:left="259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</w:t>
            </w:r>
            <w:r>
              <w:t>FFP</w:t>
            </w:r>
            <w:r w:rsidRPr="003A45D9">
              <w:t xml:space="preserve"> (Justification required if other than </w:t>
            </w:r>
            <w:r>
              <w:t>FFP</w:t>
            </w:r>
            <w:r w:rsidRPr="003A45D9">
              <w:t xml:space="preserve">)   </w:t>
            </w:r>
          </w:p>
          <w:p w:rsidR="000258DE" w:rsidRPr="003A45D9" w:rsidRDefault="000258DE" w:rsidP="00BA6A6D">
            <w:pPr>
              <w:ind w:left="259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T&amp;M </w:t>
            </w:r>
          </w:p>
          <w:p w:rsidR="000258DE" w:rsidRPr="003A45D9" w:rsidRDefault="000258DE" w:rsidP="00BA6A6D">
            <w:pPr>
              <w:ind w:left="259"/>
            </w:pPr>
            <w:r w:rsidRPr="003A45D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D9">
              <w:instrText xml:space="preserve"> FORMCHECKBOX </w:instrText>
            </w:r>
            <w:r>
              <w:fldChar w:fldCharType="separate"/>
            </w:r>
            <w:r w:rsidRPr="003A45D9">
              <w:fldChar w:fldCharType="end"/>
            </w:r>
            <w:r w:rsidRPr="003A45D9">
              <w:t xml:space="preserve"> L</w:t>
            </w:r>
            <w:r>
              <w:t>H</w:t>
            </w:r>
            <w:r w:rsidRPr="003A45D9">
              <w:t xml:space="preserve"> </w:t>
            </w:r>
          </w:p>
          <w:p w:rsidR="000258DE" w:rsidRPr="003A45D9" w:rsidRDefault="000258DE" w:rsidP="00BA6A6D">
            <w:pPr>
              <w:ind w:left="259"/>
              <w:rPr>
                <w:b/>
                <w:color w:val="FFFFFF"/>
              </w:rPr>
            </w:pPr>
          </w:p>
        </w:tc>
      </w:tr>
      <w:tr w:rsidR="000258DE" w:rsidRPr="003A45D9" w:rsidTr="00BA6A6D">
        <w:trPr>
          <w:trHeight w:val="1182"/>
        </w:trPr>
        <w:tc>
          <w:tcPr>
            <w:tcW w:w="5000" w:type="pct"/>
            <w:gridSpan w:val="2"/>
          </w:tcPr>
          <w:p w:rsidR="000258DE" w:rsidRPr="003A45D9" w:rsidRDefault="000258DE" w:rsidP="00BA6A6D">
            <w:pPr>
              <w:tabs>
                <w:tab w:val="left" w:pos="9270"/>
              </w:tabs>
              <w:ind w:left="259"/>
              <w:rPr>
                <w:b/>
              </w:rPr>
            </w:pPr>
            <w:r w:rsidRPr="003A45D9">
              <w:rPr>
                <w:b/>
              </w:rPr>
              <w:t xml:space="preserve">b. </w:t>
            </w:r>
            <w:r>
              <w:rPr>
                <w:b/>
              </w:rPr>
              <w:t xml:space="preserve">RATIONALE: </w:t>
            </w:r>
            <w:r w:rsidRPr="003A45D9">
              <w:t>T&amp;M and LH contract types require justification in accordance with Federal Acquisition Regulations (FAR) 8.404(h), 12.207(b), 16.601(d)(1), and DFARS 216.601(d)</w:t>
            </w:r>
            <w:r>
              <w:t xml:space="preserve">. </w:t>
            </w:r>
            <w:r w:rsidRPr="003A45D9">
              <w:t>Attach the approved Determination and Findings (D&amp;F) for T&amp;M/LH Usage in accordance with FAR 8.404(h)(3)(iii)</w:t>
            </w:r>
            <w:r>
              <w:t xml:space="preserve">. </w:t>
            </w:r>
            <w:r w:rsidRPr="003A45D9">
              <w:t>Comply with local policy for approval requirements</w:t>
            </w:r>
            <w:r>
              <w:t>.</w:t>
            </w:r>
          </w:p>
        </w:tc>
      </w:tr>
      <w:tr w:rsidR="000258DE" w:rsidRPr="003A45D9" w:rsidTr="00BA6A6D">
        <w:trPr>
          <w:trHeight w:val="750"/>
        </w:trPr>
        <w:tc>
          <w:tcPr>
            <w:tcW w:w="5000" w:type="pct"/>
            <w:gridSpan w:val="2"/>
          </w:tcPr>
          <w:p w:rsidR="000258DE" w:rsidRPr="003A45D9" w:rsidRDefault="000258DE" w:rsidP="00BA6A6D">
            <w:pPr>
              <w:ind w:left="162" w:hanging="162"/>
              <w:jc w:val="both"/>
              <w:rPr>
                <w:color w:val="FFFFFF"/>
              </w:rPr>
            </w:pPr>
            <w:r w:rsidRPr="003A45D9">
              <w:rPr>
                <w:b/>
              </w:rPr>
              <w:t xml:space="preserve">7. </w:t>
            </w:r>
            <w:r>
              <w:rPr>
                <w:b/>
              </w:rPr>
              <w:t>TO</w:t>
            </w:r>
            <w:r w:rsidRPr="003A45D9">
              <w:rPr>
                <w:b/>
              </w:rPr>
              <w:t xml:space="preserve"> COR </w:t>
            </w:r>
            <w:r>
              <w:rPr>
                <w:b/>
              </w:rPr>
              <w:t>TRAINING CERTIFICATIONS</w:t>
            </w:r>
            <w:r w:rsidRPr="003A45D9">
              <w:rPr>
                <w:b/>
                <w:color w:val="000000"/>
              </w:rPr>
              <w:t>:</w:t>
            </w:r>
            <w:r w:rsidRPr="003A45D9">
              <w:t xml:space="preserve"> </w:t>
            </w:r>
            <w:r>
              <w:t>TO</w:t>
            </w:r>
            <w:r w:rsidRPr="003A45D9">
              <w:t xml:space="preserve"> CORs are required to have completed Contracting Officer's Representative (COR) training prior to appointment.</w:t>
            </w:r>
          </w:p>
        </w:tc>
      </w:tr>
    </w:tbl>
    <w:p w:rsidR="000258DE" w:rsidRPr="002359E1" w:rsidRDefault="000258DE" w:rsidP="000258DE">
      <w:pPr>
        <w:pStyle w:val="BodyText"/>
        <w:rPr>
          <w:sz w:val="18"/>
          <w:szCs w:val="18"/>
        </w:rPr>
      </w:pPr>
      <w:r w:rsidRPr="002359E1">
        <w:rPr>
          <w:i/>
          <w:color w:val="FF0000"/>
          <w:sz w:val="18"/>
          <w:szCs w:val="18"/>
        </w:rPr>
        <w:t xml:space="preserve">This form constitutes a request </w:t>
      </w:r>
      <w:r>
        <w:rPr>
          <w:i/>
          <w:color w:val="FF0000"/>
          <w:sz w:val="18"/>
          <w:szCs w:val="18"/>
        </w:rPr>
        <w:t>to acquire</w:t>
      </w:r>
      <w:r w:rsidRPr="002359E1">
        <w:rPr>
          <w:i/>
          <w:color w:val="FF0000"/>
          <w:sz w:val="18"/>
          <w:szCs w:val="18"/>
        </w:rPr>
        <w:t xml:space="preserve"> Commercial Cloud Services under the </w:t>
      </w:r>
      <w:r>
        <w:rPr>
          <w:i/>
          <w:color w:val="FF0000"/>
          <w:sz w:val="18"/>
          <w:szCs w:val="18"/>
        </w:rPr>
        <w:t>BPA</w:t>
      </w:r>
      <w:r w:rsidRPr="002359E1">
        <w:rPr>
          <w:i/>
          <w:color w:val="FF0000"/>
          <w:sz w:val="18"/>
          <w:szCs w:val="18"/>
        </w:rPr>
        <w:t xml:space="preserve">. The Mission Owner shall complete this form, together with the associated attachments, and forward the entire package to the cognizant </w:t>
      </w:r>
      <w:r>
        <w:rPr>
          <w:i/>
          <w:color w:val="FF0000"/>
          <w:sz w:val="18"/>
          <w:szCs w:val="18"/>
        </w:rPr>
        <w:t>NCB and OCO</w:t>
      </w:r>
      <w:r w:rsidRPr="002359E1">
        <w:rPr>
          <w:i/>
          <w:color w:val="FF0000"/>
          <w:sz w:val="18"/>
          <w:szCs w:val="18"/>
        </w:rPr>
        <w:t>.</w:t>
      </w:r>
    </w:p>
    <w:p w:rsidR="000258DE" w:rsidRPr="001E34D0" w:rsidRDefault="000258DE" w:rsidP="000258DE"/>
    <w:p w:rsidR="004121C5" w:rsidRDefault="004121C5">
      <w:bookmarkStart w:id="3" w:name="_GoBack"/>
      <w:bookmarkEnd w:id="3"/>
    </w:p>
    <w:sectPr w:rsidR="0041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253"/>
    <w:multiLevelType w:val="multilevel"/>
    <w:tmpl w:val="DCCADACA"/>
    <w:lvl w:ilvl="0">
      <w:start w:val="1"/>
      <w:numFmt w:val="upperLetter"/>
      <w:pStyle w:val="Heading7"/>
      <w:lvlText w:val="Appendix %1."/>
      <w:lvlJc w:val="left"/>
      <w:pPr>
        <w:tabs>
          <w:tab w:val="num" w:pos="522"/>
        </w:tabs>
        <w:ind w:left="378" w:hanging="28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8"/>
      <w:lvlText w:val="%1.%2.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9"/>
      <w:lvlText w:val="%1.%2.%3"/>
      <w:lvlJc w:val="left"/>
      <w:pPr>
        <w:ind w:left="1008" w:hanging="1008"/>
      </w:pPr>
      <w:rPr>
        <w:rFonts w:ascii="Times New Roman Bold" w:hAnsi="Times New Roman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DE"/>
    <w:rsid w:val="000258DE"/>
    <w:rsid w:val="004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4B2E-9365-4B75-9C52-97CCB47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258DE"/>
    <w:pPr>
      <w:numPr>
        <w:numId w:val="1"/>
      </w:numPr>
      <w:tabs>
        <w:tab w:val="left" w:pos="1890"/>
      </w:tabs>
      <w:spacing w:before="120" w:after="120"/>
      <w:outlineLvl w:val="6"/>
    </w:pPr>
    <w:rPr>
      <w:rFonts w:ascii="Times New Roman Bold" w:hAnsi="Times New Roman Bold"/>
      <w:b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58DE"/>
    <w:pPr>
      <w:numPr>
        <w:ilvl w:val="1"/>
        <w:numId w:val="1"/>
      </w:numPr>
      <w:spacing w:before="240" w:after="60"/>
      <w:outlineLvl w:val="7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58DE"/>
    <w:pPr>
      <w:numPr>
        <w:ilvl w:val="2"/>
        <w:numId w:val="1"/>
      </w:numPr>
      <w:spacing w:before="200" w:after="200" w:line="276" w:lineRule="auto"/>
      <w:contextualSpacing/>
      <w:outlineLvl w:val="8"/>
    </w:pPr>
    <w:rPr>
      <w:rFonts w:ascii="Times New Roman Bold" w:eastAsia="Calibri" w:hAnsi="Times New Roman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0258DE"/>
    <w:rPr>
      <w:rFonts w:ascii="Times New Roman Bold" w:eastAsia="Times New Roman" w:hAnsi="Times New Roman Bold" w:cs="Times New Roman"/>
      <w:b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0258D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258DE"/>
    <w:rPr>
      <w:rFonts w:ascii="Times New Roman Bold" w:eastAsia="Calibri" w:hAnsi="Times New Roman Bold" w:cs="Times New Roman"/>
      <w:b/>
      <w:sz w:val="28"/>
      <w:szCs w:val="24"/>
    </w:rPr>
  </w:style>
  <w:style w:type="paragraph" w:styleId="BodyText">
    <w:name w:val="Body Text"/>
    <w:basedOn w:val="Normal"/>
    <w:link w:val="BodyTextChar"/>
    <w:unhideWhenUsed/>
    <w:qFormat/>
    <w:rsid w:val="000258DE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rsid w:val="000258DE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Dave</dc:creator>
  <cp:keywords/>
  <dc:description/>
  <cp:lastModifiedBy>Brownlee, Dave</cp:lastModifiedBy>
  <cp:revision>1</cp:revision>
  <dcterms:created xsi:type="dcterms:W3CDTF">2019-04-08T18:02:00Z</dcterms:created>
  <dcterms:modified xsi:type="dcterms:W3CDTF">2019-04-08T18:02:00Z</dcterms:modified>
</cp:coreProperties>
</file>